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Garamond" w:cs="Garamond" w:eastAsia="Garamond" w:hAnsi="Garamond"/>
          <w:sz w:val="28"/>
          <w:szCs w:val="28"/>
          <w:vertAlign w:val="baseline"/>
        </w:rPr>
      </w:pPr>
      <w:r w:rsidDel="00000000" w:rsidR="00000000" w:rsidRPr="00000000">
        <w:rPr>
          <w:rFonts w:ascii="Garamond" w:cs="Garamond" w:eastAsia="Garamond" w:hAnsi="Garamond"/>
          <w:sz w:val="28"/>
          <w:szCs w:val="28"/>
          <w:vertAlign w:val="baseline"/>
          <w:rtl w:val="0"/>
        </w:rPr>
        <w:t xml:space="preserve">Parent Report Card Pick-Up</w:t>
      </w:r>
    </w:p>
    <w:p w:rsidR="00000000" w:rsidDel="00000000" w:rsidP="00000000" w:rsidRDefault="00000000" w:rsidRPr="00000000">
      <w:pPr>
        <w:contextualSpacing w:val="0"/>
        <w:jc w:val="center"/>
        <w:rPr>
          <w:rFonts w:ascii="Garamond" w:cs="Garamond" w:eastAsia="Garamond" w:hAnsi="Garamond"/>
          <w:b w:val="1"/>
          <w:sz w:val="26"/>
          <w:szCs w:val="26"/>
          <w:vertAlign w:val="baseline"/>
        </w:rPr>
      </w:pPr>
      <w:r w:rsidDel="00000000" w:rsidR="00000000" w:rsidRPr="00000000">
        <w:rPr>
          <w:rFonts w:ascii="Garamond" w:cs="Garamond" w:eastAsia="Garamond" w:hAnsi="Garamond"/>
          <w:b w:val="1"/>
          <w:sz w:val="26"/>
          <w:szCs w:val="26"/>
          <w:rtl w:val="0"/>
        </w:rPr>
        <w:t xml:space="preserve">Wednesday November 15th</w:t>
      </w:r>
      <w:r w:rsidDel="00000000" w:rsidR="00000000" w:rsidRPr="00000000">
        <w:rPr>
          <w:rFonts w:ascii="Garamond" w:cs="Garamond" w:eastAsia="Garamond" w:hAnsi="Garamond"/>
          <w:b w:val="1"/>
          <w:sz w:val="26"/>
          <w:szCs w:val="26"/>
          <w:vertAlign w:val="baseline"/>
          <w:rtl w:val="0"/>
        </w:rPr>
        <w:t xml:space="preserve">, 201</w:t>
      </w:r>
      <w:r w:rsidDel="00000000" w:rsidR="00000000" w:rsidRPr="00000000">
        <w:rPr>
          <w:rFonts w:ascii="Garamond" w:cs="Garamond" w:eastAsia="Garamond" w:hAnsi="Garamond"/>
          <w:b w:val="1"/>
          <w:sz w:val="26"/>
          <w:szCs w:val="26"/>
          <w:rtl w:val="0"/>
        </w:rPr>
        <w:t xml:space="preserve">7</w:t>
      </w:r>
      <w:r w:rsidDel="00000000" w:rsidR="00000000" w:rsidRPr="00000000">
        <w:rPr>
          <w:rtl w:val="0"/>
        </w:rPr>
      </w:r>
    </w:p>
    <w:p w:rsidR="00000000" w:rsidDel="00000000" w:rsidP="00000000" w:rsidRDefault="00000000" w:rsidRPr="00000000">
      <w:pPr>
        <w:contextualSpacing w:val="0"/>
        <w:jc w:val="center"/>
        <w:rPr>
          <w:rFonts w:ascii="Garamond" w:cs="Garamond" w:eastAsia="Garamond" w:hAnsi="Garamond"/>
          <w:b w:val="1"/>
          <w:sz w:val="26"/>
          <w:szCs w:val="26"/>
          <w:vertAlign w:val="baseline"/>
        </w:rPr>
      </w:pPr>
      <w:r w:rsidDel="00000000" w:rsidR="00000000" w:rsidRPr="00000000">
        <w:rPr>
          <w:rFonts w:ascii="Garamond" w:cs="Garamond" w:eastAsia="Garamond" w:hAnsi="Garamond"/>
          <w:b w:val="1"/>
          <w:sz w:val="26"/>
          <w:szCs w:val="26"/>
          <w:vertAlign w:val="baseline"/>
          <w:rtl w:val="0"/>
        </w:rPr>
        <w:t xml:space="preserve">11:00 -2:15</w:t>
      </w:r>
    </w:p>
    <w:p w:rsidR="00000000" w:rsidDel="00000000" w:rsidP="00000000" w:rsidRDefault="00000000" w:rsidRPr="00000000">
      <w:pPr>
        <w:contextualSpacing w:val="0"/>
        <w:jc w:val="center"/>
        <w:rPr>
          <w:rFonts w:ascii="Garamond" w:cs="Garamond" w:eastAsia="Garamond" w:hAnsi="Garamond"/>
          <w:b w:val="1"/>
          <w:sz w:val="26"/>
          <w:szCs w:val="26"/>
          <w:vertAlign w:val="baseline"/>
        </w:rPr>
      </w:pPr>
      <w:r w:rsidDel="00000000" w:rsidR="00000000" w:rsidRPr="00000000">
        <w:rPr>
          <w:rFonts w:ascii="Garamond" w:cs="Garamond" w:eastAsia="Garamond" w:hAnsi="Garamond"/>
          <w:b w:val="1"/>
          <w:sz w:val="26"/>
          <w:szCs w:val="26"/>
          <w:vertAlign w:val="baseline"/>
          <w:rtl w:val="0"/>
        </w:rPr>
        <w:t xml:space="preserve">3:00-6:00</w:t>
      </w:r>
    </w:p>
    <w:p w:rsidR="00000000" w:rsidDel="00000000" w:rsidP="00000000" w:rsidRDefault="00000000" w:rsidRPr="00000000">
      <w:pPr>
        <w:contextualSpacing w:val="0"/>
        <w:jc w:val="center"/>
        <w:rPr>
          <w:rFonts w:ascii="Garamond" w:cs="Garamond" w:eastAsia="Garamond" w:hAnsi="Garamond"/>
          <w:sz w:val="32"/>
          <w:szCs w:val="32"/>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Agassiz Middle School Team will follow the same procedures as </w:t>
      </w:r>
      <w:r w:rsidDel="00000000" w:rsidR="00000000" w:rsidRPr="00000000">
        <w:rPr>
          <w:rFonts w:ascii="Calibri" w:cs="Calibri" w:eastAsia="Calibri" w:hAnsi="Calibri"/>
          <w:sz w:val="22"/>
          <w:szCs w:val="22"/>
          <w:rtl w:val="0"/>
        </w:rPr>
        <w:t xml:space="preserve">last year</w:t>
      </w:r>
      <w:r w:rsidDel="00000000" w:rsidR="00000000" w:rsidRPr="00000000">
        <w:rPr>
          <w:rFonts w:ascii="Calibri" w:cs="Calibri" w:eastAsia="Calibri" w:hAnsi="Calibri"/>
          <w:strike w:val="1"/>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You will be able to visit any or all of the teachers, not just the homeroom teacher.  Signing up for conferences in advance</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is not required.  However,</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if your child has received anything lower than a “C,” please email that teacher to schedule a conference time specifically with </w:t>
      </w:r>
      <w:r w:rsidDel="00000000" w:rsidR="00000000" w:rsidRPr="00000000">
        <w:rPr>
          <w:rFonts w:ascii="Calibri" w:cs="Calibri" w:eastAsia="Calibri" w:hAnsi="Calibri"/>
          <w:sz w:val="22"/>
          <w:szCs w:val="22"/>
          <w:rtl w:val="0"/>
        </w:rPr>
        <w:t xml:space="preserve">him/her</w:t>
      </w:r>
      <w:r w:rsidDel="00000000" w:rsidR="00000000" w:rsidRPr="00000000">
        <w:rPr>
          <w:rFonts w:ascii="Calibri" w:cs="Calibri" w:eastAsia="Calibri" w:hAnsi="Calibri"/>
          <w:sz w:val="22"/>
          <w:szCs w:val="22"/>
          <w:vertAlign w:val="baseline"/>
          <w:rtl w:val="0"/>
        </w:rPr>
        <w:t xml:space="preserve">.  You can check your child’s progress in parent portal to determine if you need to contact a specific teacher.  </w:t>
      </w:r>
    </w:p>
    <w:p w:rsidR="00000000" w:rsidDel="00000000" w:rsidP="00000000" w:rsidRDefault="00000000" w:rsidRPr="00000000">
      <w:pPr>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see below for report card pick-up procedures:</w:t>
      </w:r>
    </w:p>
    <w:p w:rsidR="00000000" w:rsidDel="00000000" w:rsidP="00000000" w:rsidRDefault="00000000" w:rsidRPr="00000000">
      <w:pPr>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parents will:</w:t>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Pick up the report card from an Agassiz staff member stationed at a table on the north end of the third floor.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the report card to determine which teacher(s) you would like to see.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Once upstairs, there will be</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sign-up sheets outside each classroom so that you can schedule times for teachers you wish to see.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Visit any teacher for which your child has received lower that a “C.”</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Agree to keep conferences to 7 minutes per teacher.  If more time is needed, please set up a follow up conference.  This will allow time for all parents to see the teachers they need to meet.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the event that the lines are too long, sign-up sheets will be available to sign up for a different day.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sz w:val="16"/>
          <w:szCs w:val="16"/>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be reminded that teachers will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NOT be available during their lunch break from 2:15 to 3:00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Please plan accordingly.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We hope that you will find this way of distributing report cards beneficial.   Please let us know if you have any questions or concerns.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Sincerely,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Agassiz Middle School Team</w:t>
      </w:r>
    </w:p>
    <w:p w:rsidR="00000000" w:rsidDel="00000000" w:rsidP="00000000" w:rsidRDefault="00000000" w:rsidRPr="00000000">
      <w:pPr>
        <w:ind w:left="720" w:right="720" w:firstLine="0"/>
        <w:contextualSpacing w:val="0"/>
        <w:rPr>
          <w:vertAlign w:val="baseline"/>
        </w:rPr>
      </w:pPr>
      <w:r w:rsidDel="00000000" w:rsidR="00000000" w:rsidRPr="00000000">
        <w:rPr>
          <w:rtl w:val="0"/>
        </w:rPr>
      </w:r>
    </w:p>
    <w:p w:rsidR="00000000" w:rsidDel="00000000" w:rsidP="00000000" w:rsidRDefault="00000000" w:rsidRPr="00000000">
      <w:pPr>
        <w:ind w:left="720" w:right="720" w:firstLine="0"/>
        <w:contextualSpacing w:val="0"/>
        <w:jc w:val="center"/>
        <w:rPr>
          <w:b w:val="1"/>
          <w:vertAlign w:val="baseline"/>
        </w:rPr>
      </w:pPr>
      <w:r w:rsidDel="00000000" w:rsidR="00000000" w:rsidRPr="00000000">
        <w:rPr>
          <w:b w:val="1"/>
          <w:rtl w:val="0"/>
        </w:rPr>
        <w:t xml:space="preserve">PLEASE REVIEW THE RESERVE SIDE OF THIS DOCUMENT FOR NEW INFORMATION REGARDING STUDENT-LED CONFERENCES</w:t>
      </w:r>
      <w:r w:rsidDel="00000000" w:rsidR="00000000" w:rsidRPr="00000000">
        <w:rPr>
          <w:rtl w:val="0"/>
        </w:rPr>
      </w:r>
    </w:p>
    <w:p w:rsidR="00000000" w:rsidDel="00000000" w:rsidP="00000000" w:rsidRDefault="00000000" w:rsidRPr="00000000">
      <w:pPr>
        <w:widowControl w:val="1"/>
        <w:spacing w:line="276" w:lineRule="auto"/>
        <w:contextualSpacing w:val="0"/>
        <w:jc w:val="center"/>
        <w:rPr>
          <w:rFonts w:ascii="Arial" w:cs="Arial" w:eastAsia="Arial" w:hAnsi="Arial"/>
          <w:b w:val="1"/>
          <w:color w:val="222222"/>
          <w:sz w:val="28"/>
          <w:szCs w:val="28"/>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jc w:val="center"/>
        <w:rPr>
          <w:rFonts w:ascii="Arial" w:cs="Arial" w:eastAsia="Arial" w:hAnsi="Arial"/>
          <w:b w:val="1"/>
          <w:color w:val="222222"/>
          <w:sz w:val="28"/>
          <w:szCs w:val="28"/>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jc w:val="center"/>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rtl w:val="0"/>
        </w:rPr>
        <w:t xml:space="preserve">MYP Report Card Pick-Up</w:t>
      </w:r>
    </w:p>
    <w:p w:rsidR="00000000" w:rsidDel="00000000" w:rsidP="00000000" w:rsidRDefault="00000000" w:rsidRPr="00000000">
      <w:pPr>
        <w:widowControl w:val="1"/>
        <w:spacing w:line="276" w:lineRule="auto"/>
        <w:contextualSpacing w:val="0"/>
        <w:jc w:val="center"/>
        <w:rPr>
          <w:rFonts w:ascii="Arial" w:cs="Arial" w:eastAsia="Arial" w:hAnsi="Arial"/>
          <w:b w:val="1"/>
          <w:color w:val="222222"/>
          <w:sz w:val="28"/>
          <w:szCs w:val="28"/>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b w:val="1"/>
          <w:color w:val="222222"/>
          <w:sz w:val="22"/>
          <w:szCs w:val="22"/>
          <w:highlight w:val="white"/>
        </w:rPr>
      </w:pPr>
      <w:r w:rsidDel="00000000" w:rsidR="00000000" w:rsidRPr="00000000">
        <w:rPr>
          <w:rFonts w:ascii="Arial" w:cs="Arial" w:eastAsia="Arial" w:hAnsi="Arial"/>
          <w:b w:val="1"/>
          <w:color w:val="222222"/>
          <w:sz w:val="22"/>
          <w:szCs w:val="22"/>
          <w:highlight w:val="white"/>
          <w:rtl w:val="0"/>
        </w:rPr>
        <w:t xml:space="preserve">Student Led Conferences</w:t>
      </w:r>
    </w:p>
    <w:p w:rsidR="00000000" w:rsidDel="00000000" w:rsidP="00000000" w:rsidRDefault="00000000" w:rsidRPr="00000000">
      <w:pPr>
        <w:widowControl w:val="1"/>
        <w:spacing w:line="276" w:lineRule="auto"/>
        <w:contextualSpacing w:val="0"/>
        <w:jc w:val="center"/>
        <w:rPr>
          <w:rFonts w:ascii="Arial" w:cs="Arial" w:eastAsia="Arial" w:hAnsi="Arial"/>
          <w:b w:val="1"/>
          <w:color w:val="222222"/>
          <w:sz w:val="22"/>
          <w:szCs w:val="22"/>
          <w:highlight w:val="white"/>
        </w:rPr>
      </w:pPr>
      <w:r w:rsidDel="00000000" w:rsidR="00000000" w:rsidRPr="00000000">
        <w:rPr>
          <w:rtl w:val="0"/>
        </w:rPr>
      </w:r>
    </w:p>
    <w:p w:rsidR="00000000" w:rsidDel="00000000" w:rsidP="00000000" w:rsidRDefault="00000000" w:rsidRPr="00000000">
      <w:pPr>
        <w:widowControl w:val="1"/>
        <w:spacing w:line="276" w:lineRule="auto"/>
        <w:contextualSpacing w:val="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One aspect of IB programme is formal communication with parents about the manner in which student work is being assessed. This quarter's report card pick-up process will include an opportunity for parents to participate in a student-led conference with their child. If your child decides to attend you may ask him/her to explain any of the projects included in their work folder. Student work folders, which will be located outside of each student’s homeroom, will include summative tasks (GRASPS), the rubric they were graded on and teacher comments on how they could have been more successful with the task. Work folders will also include other work samples that students wish to share with you, both work that they are excelling with, and work they find challenging. Students can also speak to specific Approaches to Learning (ATL) skills they have been and/or are currently working on. Student selected the work and chose which pieces they wanted to highlight. Teachers will be busy speaking with other parents who attend so they will not be able to participate in this aspect of report card pick-up. This portion of the conference will take place before or after the parent-teacher conference in the hallway. </w:t>
      </w:r>
    </w:p>
    <w:p w:rsidR="00000000" w:rsidDel="00000000" w:rsidP="00000000" w:rsidRDefault="00000000" w:rsidRPr="00000000">
      <w:pPr>
        <w:widowControl w:val="1"/>
        <w:spacing w:line="276" w:lineRule="auto"/>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rPr/>
      </w:pPr>
      <w:r w:rsidDel="00000000" w:rsidR="00000000" w:rsidRPr="00000000">
        <w:rPr>
          <w:rtl w:val="0"/>
        </w:rPr>
      </w:r>
    </w:p>
    <w:p w:rsidR="00000000" w:rsidDel="00000000" w:rsidP="00000000" w:rsidRDefault="00000000" w:rsidRPr="00000000">
      <w:pPr>
        <w:ind w:left="720" w:right="720" w:firstLine="0"/>
        <w:contextualSpacing w:val="0"/>
        <w:jc w:val="center"/>
        <w:rPr/>
      </w:pPr>
      <w:r w:rsidDel="00000000" w:rsidR="00000000" w:rsidRPr="00000000">
        <w:rPr>
          <w:b w:val="1"/>
          <w:rtl w:val="0"/>
        </w:rPr>
        <w:t xml:space="preserve">PLEASE REVIEW THE RESERVE SIDE OF THIS DOCUMENT FOR INFORMATION RELATED TO REPORT CARD PICK-UP FOR MIDDLE SCHOOL STUDENTS </w:t>
      </w:r>
      <w:r w:rsidDel="00000000" w:rsidR="00000000" w:rsidRPr="00000000">
        <w:rPr>
          <w:rtl w:val="0"/>
        </w:rPr>
      </w:r>
    </w:p>
    <w:sectPr>
      <w:headerReference r:id="rId5" w:type="default"/>
      <w:footerReference r:id="rId6"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852920" cy="773430"/>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6852920" cy="7734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852920" cy="1216660"/>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852920" cy="12166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